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E4F" w:rsidRPr="007775B4" w:rsidRDefault="007F4E4F" w:rsidP="00267FD3">
      <w:pPr>
        <w:spacing w:after="0" w:line="240" w:lineRule="auto"/>
        <w:jc w:val="center"/>
      </w:pPr>
      <w:r w:rsidRPr="007775B4">
        <w:t>Course Outline</w:t>
      </w:r>
    </w:p>
    <w:p w:rsidR="00267FD3" w:rsidRPr="00163F81" w:rsidRDefault="00E279ED" w:rsidP="00163F81">
      <w:pPr>
        <w:spacing w:after="0" w:line="240" w:lineRule="auto"/>
        <w:jc w:val="center"/>
        <w:rPr>
          <w:b/>
          <w:sz w:val="28"/>
        </w:rPr>
      </w:pPr>
      <w:r w:rsidRPr="007775B4">
        <w:rPr>
          <w:b/>
          <w:sz w:val="28"/>
        </w:rPr>
        <w:t>Foreign Policy Analysis</w:t>
      </w:r>
      <w:r w:rsidR="007F4E4F" w:rsidRPr="007775B4">
        <w:rPr>
          <w:b/>
          <w:sz w:val="28"/>
        </w:rPr>
        <w:t xml:space="preserve"> IR-21303</w:t>
      </w:r>
    </w:p>
    <w:p w:rsidR="00163F81" w:rsidRPr="007775B4" w:rsidRDefault="00163F81" w:rsidP="00163F81">
      <w:pPr>
        <w:spacing w:after="0" w:line="240" w:lineRule="auto"/>
      </w:pPr>
    </w:p>
    <w:p w:rsidR="00E279ED" w:rsidRPr="007775B4" w:rsidRDefault="00267FD3" w:rsidP="00267FD3">
      <w:pPr>
        <w:spacing w:after="0" w:line="240" w:lineRule="auto"/>
        <w:rPr>
          <w:b/>
        </w:rPr>
      </w:pPr>
      <w:r w:rsidRPr="007775B4">
        <w:rPr>
          <w:b/>
        </w:rPr>
        <w:t xml:space="preserve">Course Description: </w:t>
      </w:r>
    </w:p>
    <w:p w:rsidR="00E279ED" w:rsidRPr="007775B4" w:rsidRDefault="001A53E2" w:rsidP="00267FD3">
      <w:pPr>
        <w:widowControl w:val="0"/>
        <w:autoSpaceDE w:val="0"/>
        <w:autoSpaceDN w:val="0"/>
        <w:adjustRightInd w:val="0"/>
        <w:spacing w:after="0" w:line="240" w:lineRule="auto"/>
        <w:rPr>
          <w:szCs w:val="24"/>
        </w:rPr>
      </w:pPr>
      <w:r w:rsidRPr="007775B4">
        <w:rPr>
          <w:szCs w:val="24"/>
        </w:rPr>
        <w:t xml:space="preserve">Foreign Policy Analysis as a basic component study of International Relations provides basic conceptual understanding of the conduct, implementation and study of foreign policy. However understanding foreign policy decision making requires theoretical foundation for the subject. </w:t>
      </w:r>
    </w:p>
    <w:p w:rsidR="00267FD3" w:rsidRPr="007775B4" w:rsidRDefault="00E279ED" w:rsidP="00267FD3">
      <w:pPr>
        <w:widowControl w:val="0"/>
        <w:autoSpaceDE w:val="0"/>
        <w:autoSpaceDN w:val="0"/>
        <w:adjustRightInd w:val="0"/>
        <w:spacing w:after="0" w:line="240" w:lineRule="auto"/>
        <w:rPr>
          <w:szCs w:val="24"/>
        </w:rPr>
      </w:pPr>
      <w:r w:rsidRPr="007775B4">
        <w:rPr>
          <w:rFonts w:hint="eastAsia"/>
          <w:szCs w:val="24"/>
        </w:rPr>
        <w:t>T</w:t>
      </w:r>
      <w:r w:rsidR="001A53E2" w:rsidRPr="007775B4">
        <w:rPr>
          <w:szCs w:val="24"/>
        </w:rPr>
        <w:t xml:space="preserve">hus the </w:t>
      </w:r>
      <w:r w:rsidRPr="007775B4">
        <w:rPr>
          <w:szCs w:val="24"/>
        </w:rPr>
        <w:t>course has three main aims:</w:t>
      </w:r>
    </w:p>
    <w:p w:rsidR="00267FD3" w:rsidRPr="007775B4" w:rsidRDefault="00E279ED" w:rsidP="00267FD3">
      <w:pPr>
        <w:pStyle w:val="ListParagraph"/>
        <w:widowControl w:val="0"/>
        <w:numPr>
          <w:ilvl w:val="0"/>
          <w:numId w:val="1"/>
        </w:numPr>
        <w:autoSpaceDE w:val="0"/>
        <w:autoSpaceDN w:val="0"/>
        <w:adjustRightInd w:val="0"/>
        <w:spacing w:after="0" w:line="240" w:lineRule="auto"/>
        <w:ind w:hanging="60"/>
        <w:rPr>
          <w:szCs w:val="24"/>
        </w:rPr>
      </w:pPr>
      <w:r w:rsidRPr="007775B4">
        <w:rPr>
          <w:szCs w:val="24"/>
        </w:rPr>
        <w:t>To introduce and critically examine the main and contending approaches to Foreign Policy Analysis.</w:t>
      </w:r>
    </w:p>
    <w:p w:rsidR="00267FD3" w:rsidRPr="007775B4" w:rsidRDefault="00E279ED" w:rsidP="00267FD3">
      <w:pPr>
        <w:pStyle w:val="ListParagraph"/>
        <w:widowControl w:val="0"/>
        <w:numPr>
          <w:ilvl w:val="0"/>
          <w:numId w:val="1"/>
        </w:numPr>
        <w:autoSpaceDE w:val="0"/>
        <w:autoSpaceDN w:val="0"/>
        <w:adjustRightInd w:val="0"/>
        <w:spacing w:after="0" w:line="240" w:lineRule="auto"/>
        <w:ind w:hanging="60"/>
        <w:rPr>
          <w:szCs w:val="24"/>
        </w:rPr>
      </w:pPr>
      <w:r w:rsidRPr="007775B4">
        <w:rPr>
          <w:szCs w:val="24"/>
        </w:rPr>
        <w:t>To introduce and study the central units of analysis used in the comparative study of foreign policy.</w:t>
      </w:r>
    </w:p>
    <w:p w:rsidR="00E279ED" w:rsidRPr="007775B4" w:rsidRDefault="00E279ED" w:rsidP="00267FD3">
      <w:pPr>
        <w:pStyle w:val="ListParagraph"/>
        <w:widowControl w:val="0"/>
        <w:numPr>
          <w:ilvl w:val="0"/>
          <w:numId w:val="1"/>
        </w:numPr>
        <w:autoSpaceDE w:val="0"/>
        <w:autoSpaceDN w:val="0"/>
        <w:adjustRightInd w:val="0"/>
        <w:spacing w:after="0" w:line="240" w:lineRule="auto"/>
        <w:ind w:hanging="60"/>
        <w:rPr>
          <w:szCs w:val="24"/>
        </w:rPr>
      </w:pPr>
      <w:r w:rsidRPr="007775B4">
        <w:rPr>
          <w:szCs w:val="24"/>
        </w:rPr>
        <w:t>To broaden out and deepen our understanding of both the contending approaches to Foreign Policy Analysis and the units of analysis used in its comparative study by examining five in-depth case studies of foreign policy decision-making.</w:t>
      </w:r>
    </w:p>
    <w:p w:rsidR="00267FD3" w:rsidRPr="007775B4" w:rsidRDefault="00E279ED" w:rsidP="00267FD3">
      <w:pPr>
        <w:widowControl w:val="0"/>
        <w:autoSpaceDE w:val="0"/>
        <w:autoSpaceDN w:val="0"/>
        <w:adjustRightInd w:val="0"/>
        <w:spacing w:after="0" w:line="240" w:lineRule="auto"/>
        <w:rPr>
          <w:szCs w:val="24"/>
        </w:rPr>
      </w:pPr>
      <w:r w:rsidRPr="007775B4">
        <w:rPr>
          <w:szCs w:val="24"/>
        </w:rPr>
        <w:t>By the end of the course, students will be:</w:t>
      </w:r>
    </w:p>
    <w:p w:rsidR="00267FD3" w:rsidRPr="007775B4" w:rsidRDefault="00E279ED" w:rsidP="00267FD3">
      <w:pPr>
        <w:pStyle w:val="ListParagraph"/>
        <w:widowControl w:val="0"/>
        <w:numPr>
          <w:ilvl w:val="0"/>
          <w:numId w:val="4"/>
        </w:numPr>
        <w:autoSpaceDE w:val="0"/>
        <w:autoSpaceDN w:val="0"/>
        <w:adjustRightInd w:val="0"/>
        <w:spacing w:after="0" w:line="240" w:lineRule="auto"/>
        <w:rPr>
          <w:szCs w:val="24"/>
        </w:rPr>
      </w:pPr>
      <w:r w:rsidRPr="007775B4">
        <w:rPr>
          <w:szCs w:val="24"/>
        </w:rPr>
        <w:t>Well acquainted with the academic study of Foreign Policy Analysis.</w:t>
      </w:r>
    </w:p>
    <w:p w:rsidR="00267FD3" w:rsidRPr="007775B4" w:rsidRDefault="00E279ED" w:rsidP="00267FD3">
      <w:pPr>
        <w:pStyle w:val="ListParagraph"/>
        <w:widowControl w:val="0"/>
        <w:numPr>
          <w:ilvl w:val="0"/>
          <w:numId w:val="4"/>
        </w:numPr>
        <w:autoSpaceDE w:val="0"/>
        <w:autoSpaceDN w:val="0"/>
        <w:adjustRightInd w:val="0"/>
        <w:spacing w:after="0" w:line="240" w:lineRule="auto"/>
        <w:rPr>
          <w:szCs w:val="24"/>
        </w:rPr>
      </w:pPr>
      <w:r w:rsidRPr="007775B4">
        <w:rPr>
          <w:szCs w:val="24"/>
        </w:rPr>
        <w:t>Have an ability to differentiate between and deploy its main explanatory</w:t>
      </w:r>
      <w:r w:rsidRPr="007775B4">
        <w:rPr>
          <w:rFonts w:hint="eastAsia"/>
          <w:szCs w:val="24"/>
        </w:rPr>
        <w:t xml:space="preserve"> </w:t>
      </w:r>
      <w:r w:rsidRPr="007775B4">
        <w:rPr>
          <w:szCs w:val="24"/>
        </w:rPr>
        <w:t>approaches and units of analysis.</w:t>
      </w:r>
    </w:p>
    <w:p w:rsidR="007775B4" w:rsidRPr="00163F81" w:rsidRDefault="00E279ED" w:rsidP="00163F81">
      <w:pPr>
        <w:pStyle w:val="ListParagraph"/>
        <w:widowControl w:val="0"/>
        <w:numPr>
          <w:ilvl w:val="0"/>
          <w:numId w:val="4"/>
        </w:numPr>
        <w:autoSpaceDE w:val="0"/>
        <w:autoSpaceDN w:val="0"/>
        <w:adjustRightInd w:val="0"/>
        <w:spacing w:after="0" w:line="240" w:lineRule="auto"/>
        <w:rPr>
          <w:szCs w:val="24"/>
        </w:rPr>
      </w:pPr>
      <w:r w:rsidRPr="007775B4">
        <w:rPr>
          <w:szCs w:val="24"/>
        </w:rPr>
        <w:t>Compare, contrast and critically assess the foreign policies of different types of</w:t>
      </w:r>
      <w:r w:rsidRPr="007775B4">
        <w:rPr>
          <w:rFonts w:hint="eastAsia"/>
          <w:szCs w:val="24"/>
        </w:rPr>
        <w:t xml:space="preserve"> </w:t>
      </w:r>
      <w:r w:rsidRPr="007775B4">
        <w:rPr>
          <w:szCs w:val="24"/>
        </w:rPr>
        <w:t>actors within the international system.</w:t>
      </w:r>
    </w:p>
    <w:p w:rsidR="00267FD3" w:rsidRPr="007775B4" w:rsidRDefault="00267FD3" w:rsidP="00267FD3">
      <w:pPr>
        <w:pStyle w:val="ListParagraph"/>
        <w:spacing w:after="0" w:line="240" w:lineRule="auto"/>
        <w:ind w:hanging="720"/>
        <w:rPr>
          <w:b/>
        </w:rPr>
      </w:pPr>
      <w:r w:rsidRPr="007775B4">
        <w:rPr>
          <w:b/>
        </w:rPr>
        <w:t>Method of Evaluation</w:t>
      </w:r>
    </w:p>
    <w:p w:rsidR="00267FD3" w:rsidRPr="007775B4" w:rsidRDefault="00267FD3" w:rsidP="00267FD3">
      <w:pPr>
        <w:pStyle w:val="ListParagraph"/>
        <w:numPr>
          <w:ilvl w:val="0"/>
          <w:numId w:val="6"/>
        </w:numPr>
        <w:spacing w:after="0" w:line="240" w:lineRule="auto"/>
      </w:pPr>
      <w:r w:rsidRPr="007775B4">
        <w:t xml:space="preserve">Mid-term: </w:t>
      </w:r>
      <w:r w:rsidRPr="007775B4">
        <w:tab/>
        <w:t>30 Marks</w:t>
      </w:r>
    </w:p>
    <w:p w:rsidR="00267FD3" w:rsidRPr="007775B4" w:rsidRDefault="00267FD3" w:rsidP="00267FD3">
      <w:pPr>
        <w:pStyle w:val="ListParagraph"/>
        <w:numPr>
          <w:ilvl w:val="0"/>
          <w:numId w:val="6"/>
        </w:numPr>
        <w:spacing w:after="0" w:line="240" w:lineRule="auto"/>
      </w:pPr>
      <w:r w:rsidRPr="007775B4">
        <w:t xml:space="preserve">Final-term: </w:t>
      </w:r>
      <w:r w:rsidRPr="007775B4">
        <w:tab/>
        <w:t>50 Marks</w:t>
      </w:r>
    </w:p>
    <w:p w:rsidR="00267FD3" w:rsidRPr="007775B4" w:rsidRDefault="00267FD3" w:rsidP="00267FD3">
      <w:pPr>
        <w:pStyle w:val="ListParagraph"/>
        <w:numPr>
          <w:ilvl w:val="0"/>
          <w:numId w:val="6"/>
        </w:numPr>
        <w:spacing w:after="0" w:line="240" w:lineRule="auto"/>
        <w:rPr>
          <w:b/>
        </w:rPr>
      </w:pPr>
      <w:proofErr w:type="spellStart"/>
      <w:r w:rsidRPr="007775B4">
        <w:t>Sessional</w:t>
      </w:r>
      <w:proofErr w:type="spellEnd"/>
      <w:r w:rsidRPr="007775B4">
        <w:t xml:space="preserve">: </w:t>
      </w:r>
      <w:r w:rsidRPr="007775B4">
        <w:tab/>
        <w:t>20 Marks</w:t>
      </w:r>
    </w:p>
    <w:p w:rsidR="00267FD3" w:rsidRPr="007775B4" w:rsidRDefault="00267FD3" w:rsidP="00267FD3">
      <w:pPr>
        <w:pStyle w:val="ListParagraph"/>
        <w:numPr>
          <w:ilvl w:val="0"/>
          <w:numId w:val="7"/>
        </w:numPr>
        <w:spacing w:after="0" w:line="240" w:lineRule="auto"/>
        <w:rPr>
          <w:b/>
        </w:rPr>
      </w:pPr>
      <w:r w:rsidRPr="007775B4">
        <w:t>Attendance: 5 (ensure 85% of attendance)</w:t>
      </w:r>
    </w:p>
    <w:p w:rsidR="00267FD3" w:rsidRPr="007775B4" w:rsidRDefault="001A53E2" w:rsidP="00267FD3">
      <w:pPr>
        <w:pStyle w:val="ListParagraph"/>
        <w:numPr>
          <w:ilvl w:val="0"/>
          <w:numId w:val="7"/>
        </w:numPr>
        <w:spacing w:after="0" w:line="240" w:lineRule="auto"/>
        <w:rPr>
          <w:b/>
        </w:rPr>
      </w:pPr>
      <w:r w:rsidRPr="007775B4">
        <w:t xml:space="preserve">Participation: 5 </w:t>
      </w:r>
      <w:r w:rsidR="00267FD3" w:rsidRPr="007775B4">
        <w:t>(through Quiz written/verbal of the book chapters/articles provided)</w:t>
      </w:r>
    </w:p>
    <w:p w:rsidR="00267FD3" w:rsidRPr="007775B4" w:rsidRDefault="00267FD3" w:rsidP="00267FD3">
      <w:pPr>
        <w:pStyle w:val="ListParagraph"/>
        <w:numPr>
          <w:ilvl w:val="0"/>
          <w:numId w:val="7"/>
        </w:numPr>
        <w:spacing w:after="0" w:line="240" w:lineRule="auto"/>
        <w:rPr>
          <w:b/>
        </w:rPr>
      </w:pPr>
      <w:r w:rsidRPr="007775B4">
        <w:t>Assignment</w:t>
      </w:r>
      <w:r w:rsidR="001A53E2" w:rsidRPr="007775B4">
        <w:t xml:space="preserve"> &amp; Presentation</w:t>
      </w:r>
      <w:r w:rsidR="007775B4" w:rsidRPr="007775B4">
        <w:t>: 10</w:t>
      </w:r>
      <w:r w:rsidRPr="007775B4">
        <w:t xml:space="preserve"> (</w:t>
      </w:r>
      <w:r w:rsidR="001A53E2" w:rsidRPr="007775B4">
        <w:t>Each student will be assigned specific questions (at least 2 questions) to answer from the readings and present on the given topic</w:t>
      </w:r>
      <w:r w:rsidRPr="007775B4">
        <w:t xml:space="preserve">) </w:t>
      </w:r>
    </w:p>
    <w:p w:rsidR="00267FD3" w:rsidRPr="007775B4" w:rsidRDefault="00267FD3" w:rsidP="00267FD3">
      <w:pPr>
        <w:pStyle w:val="ListParagraph"/>
        <w:widowControl w:val="0"/>
        <w:autoSpaceDE w:val="0"/>
        <w:autoSpaceDN w:val="0"/>
        <w:adjustRightInd w:val="0"/>
        <w:spacing w:after="0" w:line="240" w:lineRule="auto"/>
        <w:ind w:hanging="720"/>
        <w:rPr>
          <w:b/>
          <w:szCs w:val="24"/>
        </w:rPr>
      </w:pPr>
      <w:r w:rsidRPr="007775B4">
        <w:rPr>
          <w:b/>
          <w:szCs w:val="24"/>
        </w:rPr>
        <w:t xml:space="preserve">Contents: </w:t>
      </w:r>
    </w:p>
    <w:p w:rsidR="00267FD3" w:rsidRPr="007775B4" w:rsidRDefault="00267FD3" w:rsidP="00267FD3">
      <w:pPr>
        <w:pStyle w:val="ListParagraph"/>
        <w:numPr>
          <w:ilvl w:val="0"/>
          <w:numId w:val="5"/>
        </w:numPr>
        <w:spacing w:after="0" w:line="240" w:lineRule="auto"/>
        <w:ind w:hanging="780"/>
        <w:rPr>
          <w:szCs w:val="24"/>
        </w:rPr>
      </w:pPr>
      <w:r w:rsidRPr="007775B4">
        <w:rPr>
          <w:szCs w:val="24"/>
        </w:rPr>
        <w:t>Introduction to FPA. FPA &amp; IR. Approaches to study FPA</w:t>
      </w:r>
    </w:p>
    <w:p w:rsidR="00267FD3" w:rsidRPr="007775B4" w:rsidRDefault="00267FD3" w:rsidP="00267FD3">
      <w:pPr>
        <w:pStyle w:val="ListParagraph"/>
        <w:numPr>
          <w:ilvl w:val="0"/>
          <w:numId w:val="5"/>
        </w:numPr>
        <w:spacing w:after="0" w:line="240" w:lineRule="auto"/>
        <w:ind w:hanging="780"/>
        <w:rPr>
          <w:szCs w:val="24"/>
        </w:rPr>
      </w:pPr>
      <w:r w:rsidRPr="007775B4">
        <w:rPr>
          <w:rFonts w:hint="eastAsia"/>
          <w:szCs w:val="24"/>
        </w:rPr>
        <w:t>Neo</w:t>
      </w:r>
      <w:r w:rsidRPr="007775B4">
        <w:rPr>
          <w:szCs w:val="24"/>
        </w:rPr>
        <w:t xml:space="preserve"> C</w:t>
      </w:r>
      <w:r w:rsidRPr="007775B4">
        <w:rPr>
          <w:rFonts w:hint="eastAsia"/>
          <w:szCs w:val="24"/>
        </w:rPr>
        <w:t xml:space="preserve">lassical </w:t>
      </w:r>
      <w:r w:rsidRPr="007775B4">
        <w:rPr>
          <w:szCs w:val="24"/>
        </w:rPr>
        <w:t>R</w:t>
      </w:r>
      <w:r w:rsidR="00E279ED" w:rsidRPr="007775B4">
        <w:rPr>
          <w:rFonts w:hint="eastAsia"/>
          <w:szCs w:val="24"/>
        </w:rPr>
        <w:t>eal</w:t>
      </w:r>
      <w:r w:rsidRPr="007775B4">
        <w:rPr>
          <w:szCs w:val="24"/>
        </w:rPr>
        <w:t>i</w:t>
      </w:r>
      <w:r w:rsidRPr="007775B4">
        <w:rPr>
          <w:rFonts w:hint="eastAsia"/>
          <w:szCs w:val="24"/>
        </w:rPr>
        <w:t>s</w:t>
      </w:r>
      <w:r w:rsidR="00E279ED" w:rsidRPr="007775B4">
        <w:rPr>
          <w:rFonts w:hint="eastAsia"/>
          <w:szCs w:val="24"/>
        </w:rPr>
        <w:t xml:space="preserve">m and rational decision making </w:t>
      </w:r>
    </w:p>
    <w:p w:rsidR="00267FD3" w:rsidRPr="007775B4" w:rsidRDefault="00E279ED" w:rsidP="00267FD3">
      <w:pPr>
        <w:pStyle w:val="ListParagraph"/>
        <w:numPr>
          <w:ilvl w:val="0"/>
          <w:numId w:val="5"/>
        </w:numPr>
        <w:spacing w:after="0" w:line="240" w:lineRule="auto"/>
        <w:ind w:hanging="780"/>
        <w:rPr>
          <w:szCs w:val="24"/>
        </w:rPr>
      </w:pPr>
      <w:r w:rsidRPr="007775B4">
        <w:rPr>
          <w:rFonts w:hint="eastAsia"/>
          <w:szCs w:val="24"/>
        </w:rPr>
        <w:t xml:space="preserve">Cognitive and </w:t>
      </w:r>
      <w:r w:rsidRPr="007775B4">
        <w:rPr>
          <w:szCs w:val="24"/>
        </w:rPr>
        <w:t>psychological</w:t>
      </w:r>
      <w:r w:rsidRPr="007775B4">
        <w:rPr>
          <w:rFonts w:hint="eastAsia"/>
          <w:szCs w:val="24"/>
        </w:rPr>
        <w:t xml:space="preserve"> factors and FPA </w:t>
      </w:r>
    </w:p>
    <w:p w:rsidR="00267FD3" w:rsidRPr="007775B4" w:rsidRDefault="00E279ED" w:rsidP="00267FD3">
      <w:pPr>
        <w:pStyle w:val="ListParagraph"/>
        <w:numPr>
          <w:ilvl w:val="0"/>
          <w:numId w:val="5"/>
        </w:numPr>
        <w:spacing w:after="0" w:line="240" w:lineRule="auto"/>
        <w:ind w:hanging="780"/>
        <w:rPr>
          <w:szCs w:val="24"/>
        </w:rPr>
      </w:pPr>
      <w:r w:rsidRPr="007775B4">
        <w:rPr>
          <w:bCs/>
          <w:szCs w:val="24"/>
        </w:rPr>
        <w:t>The critique from within</w:t>
      </w:r>
      <w:r w:rsidRPr="007775B4">
        <w:rPr>
          <w:szCs w:val="24"/>
        </w:rPr>
        <w:t xml:space="preserve">: </w:t>
      </w:r>
      <w:r w:rsidR="00471367" w:rsidRPr="007775B4">
        <w:rPr>
          <w:szCs w:val="24"/>
        </w:rPr>
        <w:t>Organizational</w:t>
      </w:r>
      <w:r w:rsidRPr="007775B4">
        <w:rPr>
          <w:szCs w:val="24"/>
        </w:rPr>
        <w:t xml:space="preserve"> </w:t>
      </w:r>
      <w:r w:rsidR="00471367" w:rsidRPr="007775B4">
        <w:rPr>
          <w:szCs w:val="24"/>
        </w:rPr>
        <w:t>Behavior</w:t>
      </w:r>
      <w:r w:rsidRPr="007775B4">
        <w:rPr>
          <w:szCs w:val="24"/>
        </w:rPr>
        <w:t>, Bureaucratic</w:t>
      </w:r>
      <w:r w:rsidRPr="007775B4">
        <w:rPr>
          <w:rFonts w:hint="eastAsia"/>
          <w:szCs w:val="24"/>
        </w:rPr>
        <w:t xml:space="preserve"> </w:t>
      </w:r>
      <w:r w:rsidRPr="007775B4">
        <w:rPr>
          <w:szCs w:val="24"/>
        </w:rPr>
        <w:t>politics and the Government politics models</w:t>
      </w:r>
      <w:r w:rsidRPr="007775B4">
        <w:rPr>
          <w:rFonts w:hint="eastAsia"/>
          <w:szCs w:val="24"/>
        </w:rPr>
        <w:t xml:space="preserve"> </w:t>
      </w:r>
    </w:p>
    <w:p w:rsidR="00267FD3" w:rsidRPr="007775B4" w:rsidRDefault="00E279ED" w:rsidP="00267FD3">
      <w:pPr>
        <w:pStyle w:val="ListParagraph"/>
        <w:numPr>
          <w:ilvl w:val="0"/>
          <w:numId w:val="5"/>
        </w:numPr>
        <w:spacing w:after="0" w:line="240" w:lineRule="auto"/>
        <w:ind w:hanging="780"/>
        <w:rPr>
          <w:szCs w:val="24"/>
        </w:rPr>
      </w:pPr>
      <w:r w:rsidRPr="007775B4">
        <w:rPr>
          <w:rFonts w:hint="eastAsia"/>
          <w:szCs w:val="24"/>
        </w:rPr>
        <w:t xml:space="preserve">History and Identity </w:t>
      </w:r>
    </w:p>
    <w:p w:rsidR="00267FD3" w:rsidRPr="007775B4" w:rsidRDefault="00E279ED" w:rsidP="00267FD3">
      <w:pPr>
        <w:pStyle w:val="ListParagraph"/>
        <w:numPr>
          <w:ilvl w:val="0"/>
          <w:numId w:val="5"/>
        </w:numPr>
        <w:spacing w:after="0" w:line="240" w:lineRule="auto"/>
        <w:ind w:hanging="780"/>
        <w:rPr>
          <w:szCs w:val="24"/>
        </w:rPr>
      </w:pPr>
      <w:r w:rsidRPr="007775B4">
        <w:rPr>
          <w:szCs w:val="24"/>
        </w:rPr>
        <w:t>State type and Foreign Policy - Great, middle and small powers</w:t>
      </w:r>
    </w:p>
    <w:p w:rsidR="00267FD3" w:rsidRPr="007775B4" w:rsidRDefault="00E279ED" w:rsidP="00267FD3">
      <w:pPr>
        <w:pStyle w:val="ListParagraph"/>
        <w:numPr>
          <w:ilvl w:val="0"/>
          <w:numId w:val="5"/>
        </w:numPr>
        <w:spacing w:after="0" w:line="240" w:lineRule="auto"/>
        <w:ind w:hanging="780"/>
        <w:rPr>
          <w:szCs w:val="24"/>
        </w:rPr>
      </w:pPr>
      <w:r w:rsidRPr="007775B4">
        <w:rPr>
          <w:rFonts w:hint="eastAsia"/>
          <w:szCs w:val="24"/>
        </w:rPr>
        <w:t xml:space="preserve">Domestic influences on Foreign Policy - </w:t>
      </w:r>
      <w:r w:rsidRPr="007775B4">
        <w:rPr>
          <w:szCs w:val="24"/>
        </w:rPr>
        <w:t>State-society</w:t>
      </w:r>
      <w:r w:rsidRPr="007775B4">
        <w:rPr>
          <w:rFonts w:hint="eastAsia"/>
          <w:szCs w:val="24"/>
        </w:rPr>
        <w:t xml:space="preserve"> </w:t>
      </w:r>
      <w:r w:rsidRPr="007775B4">
        <w:rPr>
          <w:szCs w:val="24"/>
        </w:rPr>
        <w:t>relations and public opinion; The news-cycle, the media and decision-making</w:t>
      </w:r>
    </w:p>
    <w:p w:rsidR="004D204C" w:rsidRPr="007775B4" w:rsidRDefault="00E279ED" w:rsidP="00267FD3">
      <w:pPr>
        <w:pStyle w:val="ListParagraph"/>
        <w:numPr>
          <w:ilvl w:val="0"/>
          <w:numId w:val="5"/>
        </w:numPr>
        <w:spacing w:after="0" w:line="240" w:lineRule="auto"/>
        <w:ind w:hanging="780"/>
        <w:rPr>
          <w:szCs w:val="24"/>
        </w:rPr>
      </w:pPr>
      <w:r w:rsidRPr="007775B4">
        <w:rPr>
          <w:rFonts w:hint="eastAsia"/>
          <w:szCs w:val="24"/>
        </w:rPr>
        <w:t>External influence</w:t>
      </w:r>
      <w:r w:rsidR="004D204C" w:rsidRPr="007775B4">
        <w:rPr>
          <w:rFonts w:hint="eastAsia"/>
          <w:szCs w:val="24"/>
        </w:rPr>
        <w:t xml:space="preserve">s, non-state actors (NSAs)  </w:t>
      </w:r>
    </w:p>
    <w:p w:rsidR="00267FD3" w:rsidRPr="007775B4" w:rsidRDefault="00E279ED" w:rsidP="00267FD3">
      <w:pPr>
        <w:pStyle w:val="ListParagraph"/>
        <w:numPr>
          <w:ilvl w:val="0"/>
          <w:numId w:val="5"/>
        </w:numPr>
        <w:spacing w:after="0" w:line="240" w:lineRule="auto"/>
        <w:ind w:hanging="780"/>
        <w:rPr>
          <w:szCs w:val="24"/>
        </w:rPr>
      </w:pPr>
      <w:r w:rsidRPr="007775B4">
        <w:rPr>
          <w:rFonts w:hint="eastAsia"/>
          <w:szCs w:val="24"/>
        </w:rPr>
        <w:t>Foreign policy crisis</w:t>
      </w:r>
    </w:p>
    <w:p w:rsidR="00267FD3" w:rsidRPr="00163F81" w:rsidRDefault="00E279ED" w:rsidP="00163F81">
      <w:pPr>
        <w:pStyle w:val="ListParagraph"/>
        <w:numPr>
          <w:ilvl w:val="0"/>
          <w:numId w:val="5"/>
        </w:numPr>
        <w:spacing w:after="0" w:line="240" w:lineRule="auto"/>
        <w:ind w:hanging="780"/>
        <w:rPr>
          <w:szCs w:val="24"/>
        </w:rPr>
      </w:pPr>
      <w:r w:rsidRPr="007775B4">
        <w:rPr>
          <w:rFonts w:hint="eastAsia"/>
          <w:szCs w:val="24"/>
        </w:rPr>
        <w:t>Foreign policy implemen</w:t>
      </w:r>
      <w:r w:rsidR="00267FD3" w:rsidRPr="007775B4">
        <w:rPr>
          <w:rFonts w:hint="eastAsia"/>
          <w:szCs w:val="24"/>
        </w:rPr>
        <w:t>tation and foreign policy tools</w:t>
      </w:r>
    </w:p>
    <w:p w:rsidR="001A53E2" w:rsidRPr="007775B4" w:rsidRDefault="001A53E2" w:rsidP="00267FD3">
      <w:pPr>
        <w:spacing w:after="0" w:line="240" w:lineRule="auto"/>
        <w:rPr>
          <w:b/>
        </w:rPr>
      </w:pPr>
    </w:p>
    <w:p w:rsidR="00267FD3" w:rsidRPr="007775B4" w:rsidRDefault="00267FD3" w:rsidP="00267FD3">
      <w:pPr>
        <w:spacing w:after="0" w:line="240" w:lineRule="auto"/>
        <w:rPr>
          <w:b/>
        </w:rPr>
      </w:pPr>
      <w:r w:rsidRPr="007775B4">
        <w:rPr>
          <w:b/>
        </w:rPr>
        <w:t>Essential Readings:</w:t>
      </w:r>
    </w:p>
    <w:p w:rsidR="00376612" w:rsidRPr="007775B4" w:rsidRDefault="00376612" w:rsidP="00267FD3">
      <w:pPr>
        <w:pStyle w:val="ListParagraph"/>
        <w:numPr>
          <w:ilvl w:val="0"/>
          <w:numId w:val="8"/>
        </w:numPr>
        <w:spacing w:after="0" w:line="240" w:lineRule="auto"/>
      </w:pPr>
      <w:proofErr w:type="spellStart"/>
      <w:r w:rsidRPr="007775B4">
        <w:lastRenderedPageBreak/>
        <w:t>Mintz</w:t>
      </w:r>
      <w:proofErr w:type="spellEnd"/>
      <w:r w:rsidRPr="007775B4">
        <w:t xml:space="preserve">, A., &amp; </w:t>
      </w:r>
      <w:proofErr w:type="spellStart"/>
      <w:r w:rsidRPr="007775B4">
        <w:t>DeRouen</w:t>
      </w:r>
      <w:proofErr w:type="spellEnd"/>
      <w:r w:rsidRPr="007775B4">
        <w:t>, K. (2010) Understanding Foreign Policy Decision Making. Cambridge University Press, New York.</w:t>
      </w:r>
    </w:p>
    <w:p w:rsidR="00267FD3" w:rsidRPr="007775B4" w:rsidRDefault="00267FD3" w:rsidP="00267FD3">
      <w:pPr>
        <w:pStyle w:val="ListParagraph"/>
        <w:numPr>
          <w:ilvl w:val="0"/>
          <w:numId w:val="8"/>
        </w:numPr>
        <w:spacing w:after="0" w:line="240" w:lineRule="auto"/>
      </w:pPr>
      <w:proofErr w:type="spellStart"/>
      <w:r w:rsidRPr="007775B4">
        <w:t>Alden</w:t>
      </w:r>
      <w:proofErr w:type="gramStart"/>
      <w:r w:rsidRPr="007775B4">
        <w:t>,C</w:t>
      </w:r>
      <w:proofErr w:type="spellEnd"/>
      <w:proofErr w:type="gramEnd"/>
      <w:r w:rsidRPr="007775B4">
        <w:t xml:space="preserve">., &amp; </w:t>
      </w:r>
      <w:proofErr w:type="spellStart"/>
      <w:r w:rsidRPr="007775B4">
        <w:t>Aran</w:t>
      </w:r>
      <w:proofErr w:type="spellEnd"/>
      <w:r w:rsidRPr="007775B4">
        <w:t>, A. (2017) Foreign Policy Analysis: New Approaches, 2</w:t>
      </w:r>
      <w:r w:rsidRPr="007775B4">
        <w:rPr>
          <w:vertAlign w:val="superscript"/>
        </w:rPr>
        <w:t>nd</w:t>
      </w:r>
      <w:r w:rsidRPr="007775B4">
        <w:t xml:space="preserve"> ed. </w:t>
      </w:r>
      <w:proofErr w:type="spellStart"/>
      <w:r w:rsidRPr="007775B4">
        <w:t>Routledge</w:t>
      </w:r>
      <w:proofErr w:type="spellEnd"/>
      <w:r w:rsidRPr="007775B4">
        <w:t>, New York.</w:t>
      </w:r>
    </w:p>
    <w:p w:rsidR="00267FD3" w:rsidRPr="007775B4" w:rsidRDefault="00267FD3" w:rsidP="00267FD3">
      <w:pPr>
        <w:pStyle w:val="ListParagraph"/>
        <w:numPr>
          <w:ilvl w:val="0"/>
          <w:numId w:val="8"/>
        </w:numPr>
        <w:spacing w:after="0" w:line="240" w:lineRule="auto"/>
      </w:pPr>
      <w:r w:rsidRPr="007775B4">
        <w:t>Hudson, V. M. (2014) Foreign Policy Analysis: Classic and Contemporary Theory, 2</w:t>
      </w:r>
      <w:r w:rsidRPr="007775B4">
        <w:rPr>
          <w:vertAlign w:val="superscript"/>
        </w:rPr>
        <w:t>nd</w:t>
      </w:r>
      <w:r w:rsidRPr="007775B4">
        <w:t xml:space="preserve"> ed. </w:t>
      </w:r>
      <w:proofErr w:type="spellStart"/>
      <w:r w:rsidRPr="007775B4">
        <w:t>Rowman</w:t>
      </w:r>
      <w:proofErr w:type="spellEnd"/>
      <w:r w:rsidRPr="007775B4">
        <w:t xml:space="preserve"> &amp; Littlefield, UK.</w:t>
      </w:r>
    </w:p>
    <w:p w:rsidR="00267FD3" w:rsidRPr="007775B4" w:rsidRDefault="00267FD3" w:rsidP="00267FD3">
      <w:pPr>
        <w:pStyle w:val="ListParagraph"/>
        <w:widowControl w:val="0"/>
        <w:autoSpaceDE w:val="0"/>
        <w:autoSpaceDN w:val="0"/>
        <w:adjustRightInd w:val="0"/>
        <w:spacing w:after="0" w:line="240" w:lineRule="auto"/>
        <w:ind w:hanging="720"/>
        <w:rPr>
          <w:b/>
        </w:rPr>
      </w:pPr>
      <w:r w:rsidRPr="007775B4">
        <w:rPr>
          <w:b/>
        </w:rPr>
        <w:t>Further Readings:</w:t>
      </w:r>
    </w:p>
    <w:p w:rsidR="00267FD3" w:rsidRPr="007775B4" w:rsidRDefault="00267FD3" w:rsidP="00267FD3">
      <w:pPr>
        <w:pStyle w:val="ListParagraph"/>
        <w:numPr>
          <w:ilvl w:val="0"/>
          <w:numId w:val="8"/>
        </w:numPr>
        <w:spacing w:after="0" w:line="240" w:lineRule="auto"/>
        <w:rPr>
          <w:b/>
        </w:rPr>
      </w:pPr>
      <w:r w:rsidRPr="007775B4">
        <w:rPr>
          <w:rFonts w:eastAsia="Times New Roman"/>
          <w:lang w:eastAsia="en-GB"/>
        </w:rPr>
        <w:t xml:space="preserve">Allison, G. T. (1971) </w:t>
      </w:r>
      <w:r w:rsidRPr="007775B4">
        <w:rPr>
          <w:rFonts w:eastAsia="Times New Roman"/>
          <w:iCs/>
          <w:lang w:eastAsia="en-GB"/>
        </w:rPr>
        <w:t>Essence of Decision</w:t>
      </w:r>
      <w:r w:rsidRPr="007775B4">
        <w:rPr>
          <w:rFonts w:eastAsia="Times New Roman"/>
          <w:lang w:eastAsia="en-GB"/>
        </w:rPr>
        <w:t>. Little, Brown, Boston.</w:t>
      </w:r>
    </w:p>
    <w:p w:rsidR="00267FD3" w:rsidRPr="007775B4" w:rsidRDefault="00267FD3" w:rsidP="00267FD3">
      <w:pPr>
        <w:pStyle w:val="ListParagraph"/>
        <w:numPr>
          <w:ilvl w:val="0"/>
          <w:numId w:val="8"/>
        </w:numPr>
        <w:spacing w:before="100" w:beforeAutospacing="1" w:after="100" w:afterAutospacing="1" w:line="240" w:lineRule="auto"/>
        <w:rPr>
          <w:rFonts w:eastAsia="Times New Roman"/>
          <w:lang w:eastAsia="en-GB"/>
        </w:rPr>
      </w:pPr>
      <w:r w:rsidRPr="007775B4">
        <w:rPr>
          <w:rFonts w:eastAsia="Times New Roman"/>
          <w:lang w:eastAsia="en-GB"/>
        </w:rPr>
        <w:t xml:space="preserve">Bennett, W. Lance &amp; </w:t>
      </w:r>
      <w:proofErr w:type="spellStart"/>
      <w:r w:rsidRPr="007775B4">
        <w:rPr>
          <w:rFonts w:eastAsia="Times New Roman"/>
          <w:lang w:eastAsia="en-GB"/>
        </w:rPr>
        <w:t>Paletz</w:t>
      </w:r>
      <w:proofErr w:type="spellEnd"/>
      <w:r w:rsidRPr="007775B4">
        <w:rPr>
          <w:rFonts w:eastAsia="Times New Roman"/>
          <w:lang w:eastAsia="en-GB"/>
        </w:rPr>
        <w:t xml:space="preserve">, David L. (eds.), (1994) </w:t>
      </w:r>
      <w:r w:rsidRPr="007775B4">
        <w:rPr>
          <w:rFonts w:eastAsia="Times New Roman"/>
          <w:iCs/>
          <w:lang w:eastAsia="en-GB"/>
        </w:rPr>
        <w:t>Taken by Storm: the media, public opinion, and U.S. foreign policy in the Gulf War</w:t>
      </w:r>
      <w:r w:rsidRPr="007775B4">
        <w:rPr>
          <w:rFonts w:eastAsia="Times New Roman"/>
          <w:lang w:eastAsia="en-GB"/>
        </w:rPr>
        <w:t xml:space="preserve">. University of Chicago Press, Chicago. </w:t>
      </w:r>
    </w:p>
    <w:p w:rsidR="00267FD3" w:rsidRPr="007775B4" w:rsidRDefault="00267FD3" w:rsidP="00267FD3">
      <w:pPr>
        <w:pStyle w:val="ListParagraph"/>
        <w:numPr>
          <w:ilvl w:val="0"/>
          <w:numId w:val="8"/>
        </w:numPr>
        <w:spacing w:after="0" w:line="240" w:lineRule="auto"/>
        <w:rPr>
          <w:b/>
        </w:rPr>
      </w:pPr>
      <w:r w:rsidRPr="007775B4">
        <w:t xml:space="preserve">Hudson, V. M. and </w:t>
      </w:r>
      <w:proofErr w:type="spellStart"/>
      <w:r w:rsidRPr="007775B4">
        <w:t>Vore</w:t>
      </w:r>
      <w:proofErr w:type="spellEnd"/>
      <w:r w:rsidRPr="007775B4">
        <w:t>, C. S. (1995) Foreign policy analysis; yesterday, today and</w:t>
      </w:r>
      <w:r w:rsidRPr="007775B4">
        <w:rPr>
          <w:rFonts w:hint="eastAsia"/>
        </w:rPr>
        <w:t xml:space="preserve"> </w:t>
      </w:r>
      <w:r w:rsidRPr="007775B4">
        <w:t xml:space="preserve">tomorrow. </w:t>
      </w:r>
      <w:proofErr w:type="spellStart"/>
      <w:r w:rsidRPr="007775B4">
        <w:rPr>
          <w:i/>
          <w:iCs/>
        </w:rPr>
        <w:t>Mershon</w:t>
      </w:r>
      <w:proofErr w:type="spellEnd"/>
      <w:r w:rsidRPr="007775B4">
        <w:rPr>
          <w:i/>
          <w:iCs/>
        </w:rPr>
        <w:t xml:space="preserve"> International Studies Review, </w:t>
      </w:r>
      <w:r w:rsidRPr="007775B4">
        <w:t>39:209-238.</w:t>
      </w:r>
    </w:p>
    <w:p w:rsidR="00267FD3" w:rsidRPr="007775B4" w:rsidRDefault="00267FD3" w:rsidP="00267FD3">
      <w:pPr>
        <w:pStyle w:val="ListParagraph"/>
        <w:numPr>
          <w:ilvl w:val="0"/>
          <w:numId w:val="8"/>
        </w:numPr>
        <w:spacing w:after="0" w:line="240" w:lineRule="auto"/>
        <w:rPr>
          <w:b/>
        </w:rPr>
      </w:pPr>
      <w:r w:rsidRPr="007775B4">
        <w:t>Rose, G. (1998) Neoclassical Realism and Theories of Foreign Policy. World Politics 51 (1):144-72.</w:t>
      </w:r>
    </w:p>
    <w:p w:rsidR="00267FD3" w:rsidRPr="008D40B1" w:rsidRDefault="00267FD3" w:rsidP="00267FD3">
      <w:pPr>
        <w:pStyle w:val="ListParagraph"/>
        <w:numPr>
          <w:ilvl w:val="0"/>
          <w:numId w:val="8"/>
        </w:numPr>
        <w:spacing w:after="0" w:line="240" w:lineRule="auto"/>
        <w:rPr>
          <w:b/>
        </w:rPr>
      </w:pPr>
      <w:r w:rsidRPr="008D40B1">
        <w:rPr>
          <w:rFonts w:eastAsia="Times New Roman"/>
          <w:lang w:eastAsia="en-GB"/>
        </w:rPr>
        <w:t xml:space="preserve">Min, Y. (2007) </w:t>
      </w:r>
      <w:proofErr w:type="spellStart"/>
      <w:r w:rsidRPr="008D40B1">
        <w:rPr>
          <w:rFonts w:eastAsia="Times New Roman"/>
          <w:lang w:eastAsia="en-GB"/>
        </w:rPr>
        <w:t>Poliheuristic</w:t>
      </w:r>
      <w:proofErr w:type="spellEnd"/>
      <w:r w:rsidRPr="008D40B1">
        <w:rPr>
          <w:rFonts w:eastAsia="Times New Roman"/>
          <w:lang w:eastAsia="en-GB"/>
        </w:rPr>
        <w:t xml:space="preserve"> Theory, Bargaining and Crisis Decision Making. </w:t>
      </w:r>
      <w:r w:rsidRPr="008D40B1">
        <w:rPr>
          <w:rFonts w:eastAsia="Times New Roman"/>
          <w:i/>
          <w:iCs/>
          <w:lang w:eastAsia="en-GB"/>
        </w:rPr>
        <w:t>Foreign Policy Analysis,</w:t>
      </w:r>
      <w:r w:rsidRPr="008D40B1">
        <w:rPr>
          <w:rFonts w:eastAsia="Times New Roman"/>
          <w:lang w:eastAsia="en-GB"/>
        </w:rPr>
        <w:t xml:space="preserve"> 3(4):317-344.</w:t>
      </w:r>
    </w:p>
    <w:p w:rsidR="00267FD3" w:rsidRPr="008D40B1" w:rsidRDefault="00267FD3" w:rsidP="00267FD3">
      <w:pPr>
        <w:pStyle w:val="ListParagraph"/>
        <w:numPr>
          <w:ilvl w:val="0"/>
          <w:numId w:val="8"/>
        </w:numPr>
        <w:spacing w:after="0" w:line="240" w:lineRule="auto"/>
        <w:rPr>
          <w:b/>
        </w:rPr>
      </w:pPr>
      <w:proofErr w:type="spellStart"/>
      <w:r w:rsidRPr="008D40B1">
        <w:t>Snidal</w:t>
      </w:r>
      <w:proofErr w:type="spellEnd"/>
      <w:r w:rsidRPr="008D40B1">
        <w:t xml:space="preserve">, D. (Oct., 1985) </w:t>
      </w:r>
      <w:proofErr w:type="gramStart"/>
      <w:r w:rsidRPr="008D40B1">
        <w:t>The</w:t>
      </w:r>
      <w:proofErr w:type="gramEnd"/>
      <w:r w:rsidRPr="008D40B1">
        <w:t xml:space="preserve"> game theory of international politics. </w:t>
      </w:r>
      <w:r w:rsidRPr="008D40B1">
        <w:rPr>
          <w:i/>
          <w:iCs/>
        </w:rPr>
        <w:t xml:space="preserve">World Politics </w:t>
      </w:r>
      <w:r w:rsidRPr="008D40B1">
        <w:t>38(1):25-57.</w:t>
      </w:r>
    </w:p>
    <w:p w:rsidR="00267FD3" w:rsidRPr="007775B4" w:rsidRDefault="00267FD3" w:rsidP="00267FD3">
      <w:pPr>
        <w:pStyle w:val="ListParagraph"/>
        <w:numPr>
          <w:ilvl w:val="0"/>
          <w:numId w:val="8"/>
        </w:numPr>
        <w:spacing w:after="0" w:line="240" w:lineRule="auto"/>
        <w:rPr>
          <w:b/>
        </w:rPr>
      </w:pPr>
      <w:r w:rsidRPr="007775B4">
        <w:t xml:space="preserve">Larson, D. W. (March, 1994) </w:t>
      </w:r>
      <w:proofErr w:type="gramStart"/>
      <w:r w:rsidRPr="007775B4">
        <w:t>The</w:t>
      </w:r>
      <w:proofErr w:type="gramEnd"/>
      <w:r w:rsidRPr="007775B4">
        <w:t xml:space="preserve"> role of belief systems and schemas in foreign policy</w:t>
      </w:r>
      <w:r w:rsidRPr="007775B4">
        <w:rPr>
          <w:rFonts w:hint="eastAsia"/>
        </w:rPr>
        <w:t xml:space="preserve"> </w:t>
      </w:r>
      <w:r w:rsidRPr="007775B4">
        <w:t xml:space="preserve">decision-making’, </w:t>
      </w:r>
      <w:r w:rsidRPr="007775B4">
        <w:rPr>
          <w:i/>
          <w:iCs/>
        </w:rPr>
        <w:t>Political Psychology</w:t>
      </w:r>
      <w:r w:rsidRPr="007775B4">
        <w:t>, (15:1):17-33.</w:t>
      </w:r>
    </w:p>
    <w:p w:rsidR="00267FD3" w:rsidRPr="007775B4" w:rsidRDefault="00267FD3" w:rsidP="00267FD3">
      <w:pPr>
        <w:pStyle w:val="ListParagraph"/>
        <w:widowControl w:val="0"/>
        <w:numPr>
          <w:ilvl w:val="0"/>
          <w:numId w:val="8"/>
        </w:numPr>
        <w:autoSpaceDE w:val="0"/>
        <w:autoSpaceDN w:val="0"/>
        <w:adjustRightInd w:val="0"/>
        <w:spacing w:after="0" w:line="240" w:lineRule="auto"/>
      </w:pPr>
      <w:r w:rsidRPr="007775B4">
        <w:rPr>
          <w:rFonts w:eastAsia="Times New Roman"/>
          <w:lang w:eastAsia="en-GB"/>
        </w:rPr>
        <w:t xml:space="preserve">Smith, S. (Winter 1984-5) Policy Preferences and Bureaucratic Position: the Case of the American Hostage Rescue Mission. </w:t>
      </w:r>
      <w:r w:rsidRPr="007775B4">
        <w:rPr>
          <w:rFonts w:eastAsia="Times New Roman"/>
          <w:i/>
          <w:iCs/>
          <w:lang w:eastAsia="en-GB"/>
        </w:rPr>
        <w:t>International Affairs</w:t>
      </w:r>
      <w:r w:rsidRPr="007775B4">
        <w:rPr>
          <w:rFonts w:eastAsia="Times New Roman"/>
          <w:lang w:eastAsia="en-GB"/>
        </w:rPr>
        <w:t xml:space="preserve">, 61(1):9-25. </w:t>
      </w:r>
    </w:p>
    <w:p w:rsidR="00267FD3" w:rsidRPr="007775B4" w:rsidRDefault="00267FD3" w:rsidP="00267FD3">
      <w:pPr>
        <w:pStyle w:val="ListParagraph"/>
        <w:widowControl w:val="0"/>
        <w:numPr>
          <w:ilvl w:val="0"/>
          <w:numId w:val="8"/>
        </w:numPr>
        <w:autoSpaceDE w:val="0"/>
        <w:autoSpaceDN w:val="0"/>
        <w:adjustRightInd w:val="0"/>
        <w:spacing w:after="0" w:line="240" w:lineRule="auto"/>
      </w:pPr>
      <w:r w:rsidRPr="007775B4">
        <w:rPr>
          <w:rFonts w:eastAsia="Times New Roman"/>
          <w:lang w:eastAsia="en-GB"/>
        </w:rPr>
        <w:t xml:space="preserve">Gong, G. W. (Spring 2001) </w:t>
      </w:r>
      <w:proofErr w:type="gramStart"/>
      <w:r w:rsidRPr="007775B4">
        <w:rPr>
          <w:rFonts w:eastAsia="Times New Roman"/>
          <w:lang w:eastAsia="en-GB"/>
        </w:rPr>
        <w:t>The</w:t>
      </w:r>
      <w:proofErr w:type="gramEnd"/>
      <w:r w:rsidRPr="007775B4">
        <w:rPr>
          <w:rFonts w:eastAsia="Times New Roman"/>
          <w:lang w:eastAsia="en-GB"/>
        </w:rPr>
        <w:t xml:space="preserve"> Beginning of History: Remembering and Forgetting as Strategic Issues. </w:t>
      </w:r>
      <w:r w:rsidRPr="007775B4">
        <w:rPr>
          <w:rFonts w:eastAsia="Times New Roman"/>
          <w:i/>
          <w:iCs/>
          <w:lang w:eastAsia="en-GB"/>
        </w:rPr>
        <w:t>Washington Quarterly</w:t>
      </w:r>
      <w:r w:rsidRPr="007775B4">
        <w:rPr>
          <w:rFonts w:eastAsia="Times New Roman"/>
          <w:lang w:eastAsia="en-GB"/>
        </w:rPr>
        <w:t>, 24(2):</w:t>
      </w:r>
      <w:r w:rsidRPr="007775B4">
        <w:rPr>
          <w:rFonts w:eastAsia="Times New Roman"/>
          <w:bCs/>
          <w:lang w:eastAsia="en-GB"/>
        </w:rPr>
        <w:t>45-57.</w:t>
      </w:r>
    </w:p>
    <w:p w:rsidR="00267FD3" w:rsidRPr="007775B4" w:rsidRDefault="00267FD3" w:rsidP="00267FD3">
      <w:pPr>
        <w:pStyle w:val="ListParagraph"/>
        <w:widowControl w:val="0"/>
        <w:numPr>
          <w:ilvl w:val="0"/>
          <w:numId w:val="8"/>
        </w:numPr>
        <w:autoSpaceDE w:val="0"/>
        <w:autoSpaceDN w:val="0"/>
        <w:adjustRightInd w:val="0"/>
        <w:spacing w:after="0" w:line="240" w:lineRule="auto"/>
        <w:rPr>
          <w:szCs w:val="24"/>
        </w:rPr>
      </w:pPr>
      <w:proofErr w:type="spellStart"/>
      <w:r w:rsidRPr="007775B4">
        <w:rPr>
          <w:szCs w:val="24"/>
        </w:rPr>
        <w:t>Ayoob</w:t>
      </w:r>
      <w:proofErr w:type="spellEnd"/>
      <w:r w:rsidRPr="007775B4">
        <w:rPr>
          <w:szCs w:val="24"/>
        </w:rPr>
        <w:t>, M. (1989) The Third World in the system of states: acute schizophrenia or</w:t>
      </w:r>
      <w:r w:rsidRPr="007775B4">
        <w:rPr>
          <w:rFonts w:hint="eastAsia"/>
          <w:szCs w:val="24"/>
        </w:rPr>
        <w:t xml:space="preserve"> </w:t>
      </w:r>
      <w:r w:rsidRPr="007775B4">
        <w:rPr>
          <w:szCs w:val="24"/>
        </w:rPr>
        <w:t xml:space="preserve">growing pains? </w:t>
      </w:r>
      <w:r w:rsidRPr="007775B4">
        <w:rPr>
          <w:i/>
          <w:iCs/>
          <w:szCs w:val="24"/>
        </w:rPr>
        <w:t>International Studies Quarterly</w:t>
      </w:r>
      <w:r w:rsidRPr="007775B4">
        <w:rPr>
          <w:szCs w:val="24"/>
        </w:rPr>
        <w:t>, 33:67-79.</w:t>
      </w:r>
    </w:p>
    <w:p w:rsidR="00267FD3" w:rsidRPr="007775B4" w:rsidRDefault="00267FD3" w:rsidP="00267FD3">
      <w:pPr>
        <w:pStyle w:val="ListParagraph"/>
        <w:widowControl w:val="0"/>
        <w:numPr>
          <w:ilvl w:val="0"/>
          <w:numId w:val="8"/>
        </w:numPr>
        <w:autoSpaceDE w:val="0"/>
        <w:autoSpaceDN w:val="0"/>
        <w:adjustRightInd w:val="0"/>
        <w:spacing w:after="0" w:line="240" w:lineRule="auto"/>
      </w:pPr>
      <w:r w:rsidRPr="007775B4">
        <w:t>Cooper, D. A. (2011) Challenging contemporary notions of middle power influence:</w:t>
      </w:r>
      <w:r w:rsidRPr="007775B4">
        <w:rPr>
          <w:rFonts w:hint="eastAsia"/>
        </w:rPr>
        <w:t xml:space="preserve"> </w:t>
      </w:r>
      <w:r w:rsidRPr="007775B4">
        <w:t xml:space="preserve">implications of the proliferation security initiative for ‘Middle Power Theory’. </w:t>
      </w:r>
      <w:r w:rsidRPr="007775B4">
        <w:rPr>
          <w:i/>
          <w:iCs/>
        </w:rPr>
        <w:t xml:space="preserve">Foreign Policy Analysis, </w:t>
      </w:r>
      <w:r w:rsidRPr="007775B4">
        <w:t>7:317–336.</w:t>
      </w:r>
    </w:p>
    <w:p w:rsidR="00267FD3" w:rsidRPr="007775B4" w:rsidRDefault="00267FD3" w:rsidP="00267FD3">
      <w:pPr>
        <w:pStyle w:val="ListParagraph"/>
        <w:numPr>
          <w:ilvl w:val="0"/>
          <w:numId w:val="8"/>
        </w:numPr>
        <w:spacing w:line="240" w:lineRule="auto"/>
      </w:pPr>
      <w:r w:rsidRPr="007775B4">
        <w:t xml:space="preserve">Putnam, R. D. (Summer 1988) Diplomacy and Domestic Politics: The Logic of Two-Level Games’, </w:t>
      </w:r>
      <w:r w:rsidRPr="007775B4">
        <w:rPr>
          <w:i/>
          <w:iCs/>
        </w:rPr>
        <w:t>International Organization</w:t>
      </w:r>
      <w:r w:rsidRPr="007775B4">
        <w:t>, 42(3):427-460.</w:t>
      </w:r>
    </w:p>
    <w:p w:rsidR="00267FD3" w:rsidRPr="007775B4" w:rsidRDefault="00267FD3" w:rsidP="00267FD3">
      <w:pPr>
        <w:pStyle w:val="ListParagraph"/>
        <w:numPr>
          <w:ilvl w:val="0"/>
          <w:numId w:val="8"/>
        </w:numPr>
        <w:spacing w:before="100" w:beforeAutospacing="1" w:after="100" w:afterAutospacing="1" w:line="240" w:lineRule="auto"/>
      </w:pPr>
      <w:proofErr w:type="spellStart"/>
      <w:r w:rsidRPr="007775B4">
        <w:rPr>
          <w:rFonts w:eastAsia="Times New Roman"/>
          <w:lang w:eastAsia="en-GB"/>
        </w:rPr>
        <w:t>Risse-Kappen</w:t>
      </w:r>
      <w:proofErr w:type="spellEnd"/>
      <w:r w:rsidRPr="007775B4">
        <w:rPr>
          <w:rFonts w:eastAsia="Times New Roman"/>
          <w:lang w:eastAsia="en-GB"/>
        </w:rPr>
        <w:t xml:space="preserve">, T. </w:t>
      </w:r>
      <w:r w:rsidRPr="007775B4">
        <w:t xml:space="preserve">(2011) </w:t>
      </w:r>
      <w:r w:rsidRPr="007775B4">
        <w:rPr>
          <w:rFonts w:eastAsia="Times New Roman"/>
          <w:lang w:eastAsia="en-GB"/>
        </w:rPr>
        <w:t xml:space="preserve">Public Opinion, Domestic Structure, and Foreign Policy in Liberal Democracies. </w:t>
      </w:r>
      <w:r w:rsidRPr="007775B4">
        <w:rPr>
          <w:rFonts w:eastAsia="Times New Roman"/>
          <w:i/>
          <w:iCs/>
          <w:lang w:eastAsia="en-GB"/>
        </w:rPr>
        <w:t>World Politics</w:t>
      </w:r>
      <w:r w:rsidRPr="007775B4">
        <w:rPr>
          <w:rFonts w:eastAsia="Times New Roman"/>
          <w:lang w:eastAsia="en-GB"/>
        </w:rPr>
        <w:t xml:space="preserve"> 43:479-512. </w:t>
      </w:r>
    </w:p>
    <w:p w:rsidR="00267FD3" w:rsidRPr="007775B4" w:rsidRDefault="00267FD3" w:rsidP="00267FD3">
      <w:pPr>
        <w:pStyle w:val="ListParagraph"/>
        <w:widowControl w:val="0"/>
        <w:numPr>
          <w:ilvl w:val="0"/>
          <w:numId w:val="8"/>
        </w:numPr>
        <w:autoSpaceDE w:val="0"/>
        <w:autoSpaceDN w:val="0"/>
        <w:adjustRightInd w:val="0"/>
        <w:spacing w:after="0" w:line="240" w:lineRule="auto"/>
      </w:pPr>
      <w:proofErr w:type="spellStart"/>
      <w:r w:rsidRPr="007775B4">
        <w:t>Caspary</w:t>
      </w:r>
      <w:proofErr w:type="spellEnd"/>
      <w:r w:rsidRPr="007775B4">
        <w:t xml:space="preserve">, W.R. (June, 1970) </w:t>
      </w:r>
      <w:proofErr w:type="gramStart"/>
      <w:r w:rsidRPr="007775B4">
        <w:t>The</w:t>
      </w:r>
      <w:proofErr w:type="gramEnd"/>
      <w:r w:rsidRPr="007775B4">
        <w:t xml:space="preserve"> mood theory: a study of public opinion and foreign policy’,</w:t>
      </w:r>
      <w:r w:rsidRPr="007775B4">
        <w:rPr>
          <w:rFonts w:hint="eastAsia"/>
        </w:rPr>
        <w:t xml:space="preserve"> </w:t>
      </w:r>
      <w:r w:rsidRPr="007775B4">
        <w:rPr>
          <w:i/>
          <w:iCs/>
        </w:rPr>
        <w:t>American Political Science Review</w:t>
      </w:r>
      <w:r w:rsidRPr="007775B4">
        <w:t>, 64:536-547.</w:t>
      </w:r>
    </w:p>
    <w:p w:rsidR="00267FD3" w:rsidRPr="007775B4" w:rsidRDefault="00267FD3" w:rsidP="00267FD3">
      <w:pPr>
        <w:pStyle w:val="ListParagraph"/>
        <w:widowControl w:val="0"/>
        <w:numPr>
          <w:ilvl w:val="0"/>
          <w:numId w:val="8"/>
        </w:numPr>
        <w:autoSpaceDE w:val="0"/>
        <w:autoSpaceDN w:val="0"/>
        <w:adjustRightInd w:val="0"/>
        <w:spacing w:after="0" w:line="240" w:lineRule="auto"/>
      </w:pPr>
      <w:proofErr w:type="spellStart"/>
      <w:r w:rsidRPr="007775B4">
        <w:rPr>
          <w:rFonts w:eastAsia="Times New Roman"/>
          <w:lang w:eastAsia="en-GB"/>
        </w:rPr>
        <w:t>Gourevit</w:t>
      </w:r>
      <w:r w:rsidR="007124B5">
        <w:rPr>
          <w:rFonts w:eastAsia="Times New Roman"/>
          <w:lang w:eastAsia="en-GB"/>
        </w:rPr>
        <w:t>ch</w:t>
      </w:r>
      <w:proofErr w:type="spellEnd"/>
      <w:r w:rsidR="007124B5">
        <w:rPr>
          <w:rFonts w:eastAsia="Times New Roman"/>
          <w:lang w:eastAsia="en-GB"/>
        </w:rPr>
        <w:t>, P. (</w:t>
      </w:r>
      <w:proofErr w:type="gramStart"/>
      <w:r w:rsidR="007124B5">
        <w:rPr>
          <w:rFonts w:eastAsia="Times New Roman"/>
          <w:lang w:eastAsia="en-GB"/>
        </w:rPr>
        <w:t>Autumn</w:t>
      </w:r>
      <w:proofErr w:type="gramEnd"/>
      <w:r w:rsidR="007124B5">
        <w:rPr>
          <w:rFonts w:eastAsia="Times New Roman"/>
          <w:lang w:eastAsia="en-GB"/>
        </w:rPr>
        <w:t xml:space="preserve">, 1978) ‘The </w:t>
      </w:r>
      <w:proofErr w:type="spellStart"/>
      <w:r w:rsidR="007124B5">
        <w:rPr>
          <w:rFonts w:eastAsia="Times New Roman"/>
          <w:lang w:eastAsia="en-GB"/>
        </w:rPr>
        <w:t>Seco</w:t>
      </w:r>
      <w:r w:rsidRPr="007775B4">
        <w:rPr>
          <w:rFonts w:eastAsia="Times New Roman"/>
          <w:lang w:eastAsia="en-GB"/>
        </w:rPr>
        <w:t>d</w:t>
      </w:r>
      <w:proofErr w:type="spellEnd"/>
      <w:r w:rsidRPr="007775B4">
        <w:rPr>
          <w:rFonts w:eastAsia="Times New Roman"/>
          <w:lang w:eastAsia="en-GB"/>
        </w:rPr>
        <w:t xml:space="preserve"> Image Reversed: The International Sources of Domestic Politics’, </w:t>
      </w:r>
      <w:r w:rsidRPr="007775B4">
        <w:rPr>
          <w:rFonts w:eastAsia="Times New Roman"/>
          <w:i/>
          <w:iCs/>
          <w:lang w:eastAsia="en-GB"/>
        </w:rPr>
        <w:t>International Organization</w:t>
      </w:r>
      <w:r w:rsidRPr="007775B4">
        <w:rPr>
          <w:rFonts w:eastAsia="Times New Roman"/>
          <w:lang w:eastAsia="en-GB"/>
        </w:rPr>
        <w:t>, 32(4):881-912.</w:t>
      </w:r>
    </w:p>
    <w:p w:rsidR="00267FD3" w:rsidRPr="007775B4" w:rsidRDefault="00267FD3" w:rsidP="00267FD3">
      <w:pPr>
        <w:pStyle w:val="ListParagraph"/>
        <w:widowControl w:val="0"/>
        <w:numPr>
          <w:ilvl w:val="0"/>
          <w:numId w:val="8"/>
        </w:numPr>
        <w:autoSpaceDE w:val="0"/>
        <w:autoSpaceDN w:val="0"/>
        <w:adjustRightInd w:val="0"/>
        <w:spacing w:after="0" w:line="240" w:lineRule="auto"/>
      </w:pPr>
      <w:r w:rsidRPr="007775B4">
        <w:rPr>
          <w:rFonts w:eastAsia="Times New Roman"/>
          <w:szCs w:val="24"/>
          <w:lang w:eastAsia="en-GB"/>
        </w:rPr>
        <w:t xml:space="preserve">Smith, S. (January 1985) Groupthink and the Hostage Rescue Mission’, </w:t>
      </w:r>
      <w:r w:rsidRPr="007775B4">
        <w:rPr>
          <w:rFonts w:eastAsia="Times New Roman"/>
          <w:i/>
          <w:iCs/>
          <w:szCs w:val="24"/>
          <w:lang w:eastAsia="en-GB"/>
        </w:rPr>
        <w:t>British Journal of Political Science</w:t>
      </w:r>
      <w:r w:rsidRPr="007775B4">
        <w:rPr>
          <w:rFonts w:eastAsia="Times New Roman"/>
          <w:szCs w:val="24"/>
          <w:lang w:eastAsia="en-GB"/>
        </w:rPr>
        <w:t>, 15(1):117-123.</w:t>
      </w:r>
    </w:p>
    <w:p w:rsidR="00267FD3" w:rsidRPr="00267FD3" w:rsidRDefault="00267FD3" w:rsidP="00267FD3">
      <w:pPr>
        <w:pStyle w:val="ListParagraph"/>
        <w:widowControl w:val="0"/>
        <w:autoSpaceDE w:val="0"/>
        <w:autoSpaceDN w:val="0"/>
        <w:adjustRightInd w:val="0"/>
        <w:spacing w:after="0" w:line="240" w:lineRule="auto"/>
        <w:rPr>
          <w:b/>
        </w:rPr>
      </w:pPr>
    </w:p>
    <w:sectPr w:rsidR="00267FD3" w:rsidRPr="00267FD3" w:rsidSect="002060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067136"/>
    <w:multiLevelType w:val="hybridMultilevel"/>
    <w:tmpl w:val="FD067C82"/>
    <w:lvl w:ilvl="0" w:tplc="0409000B">
      <w:start w:val="1"/>
      <w:numFmt w:val="bullet"/>
      <w:lvlText w:val=""/>
      <w:lvlJc w:val="left"/>
      <w:pPr>
        <w:ind w:left="1140" w:hanging="360"/>
      </w:pPr>
      <w:rPr>
        <w:rFonts w:ascii="Wingdings" w:hAnsi="Wingding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
    <w:nsid w:val="185400B4"/>
    <w:multiLevelType w:val="hybridMultilevel"/>
    <w:tmpl w:val="59104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6A6A62"/>
    <w:multiLevelType w:val="hybridMultilevel"/>
    <w:tmpl w:val="FCA4E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C307EE"/>
    <w:multiLevelType w:val="hybridMultilevel"/>
    <w:tmpl w:val="F266DCC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4DD362B8"/>
    <w:multiLevelType w:val="hybridMultilevel"/>
    <w:tmpl w:val="CF2A3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9C348C1"/>
    <w:multiLevelType w:val="hybridMultilevel"/>
    <w:tmpl w:val="27287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932C66"/>
    <w:multiLevelType w:val="hybridMultilevel"/>
    <w:tmpl w:val="FA4834B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626C1D53"/>
    <w:multiLevelType w:val="hybridMultilevel"/>
    <w:tmpl w:val="9544D58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7"/>
  </w:num>
  <w:num w:numId="2">
    <w:abstractNumId w:val="3"/>
  </w:num>
  <w:num w:numId="3">
    <w:abstractNumId w:val="2"/>
  </w:num>
  <w:num w:numId="4">
    <w:abstractNumId w:val="1"/>
  </w:num>
  <w:num w:numId="5">
    <w:abstractNumId w:val="0"/>
  </w:num>
  <w:num w:numId="6">
    <w:abstractNumId w:val="4"/>
  </w:num>
  <w:num w:numId="7">
    <w:abstractNumId w:val="6"/>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279ED"/>
    <w:rsid w:val="000B6848"/>
    <w:rsid w:val="00163F81"/>
    <w:rsid w:val="0018022C"/>
    <w:rsid w:val="001A53E2"/>
    <w:rsid w:val="002060A2"/>
    <w:rsid w:val="00267FD3"/>
    <w:rsid w:val="00355287"/>
    <w:rsid w:val="00376612"/>
    <w:rsid w:val="0043527A"/>
    <w:rsid w:val="00455D69"/>
    <w:rsid w:val="00471367"/>
    <w:rsid w:val="004D204C"/>
    <w:rsid w:val="005A63D5"/>
    <w:rsid w:val="0067673E"/>
    <w:rsid w:val="006C4F00"/>
    <w:rsid w:val="006E28B0"/>
    <w:rsid w:val="007124B5"/>
    <w:rsid w:val="007775B4"/>
    <w:rsid w:val="007A1FB5"/>
    <w:rsid w:val="007F4E4F"/>
    <w:rsid w:val="00822986"/>
    <w:rsid w:val="00886875"/>
    <w:rsid w:val="00892B1F"/>
    <w:rsid w:val="008C7B38"/>
    <w:rsid w:val="008D40B1"/>
    <w:rsid w:val="00960218"/>
    <w:rsid w:val="00C32FE6"/>
    <w:rsid w:val="00CF550B"/>
    <w:rsid w:val="00E22D3B"/>
    <w:rsid w:val="00E279ED"/>
    <w:rsid w:val="00EB452D"/>
    <w:rsid w:val="00EE4E6A"/>
    <w:rsid w:val="00F54EA7"/>
    <w:rsid w:val="00F72F9A"/>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3D5"/>
    <w:pPr>
      <w:spacing w:line="360" w:lineRule="auto"/>
      <w:jc w:val="both"/>
    </w:pPr>
    <w:rPr>
      <w:rFonts w:ascii="Times New Roman" w:hAnsi="Times New Roman"/>
      <w:sz w:val="24"/>
    </w:rPr>
  </w:style>
  <w:style w:type="paragraph" w:styleId="Heading1">
    <w:name w:val="heading 1"/>
    <w:basedOn w:val="Normal"/>
    <w:link w:val="Heading1Char"/>
    <w:autoRedefine/>
    <w:uiPriority w:val="9"/>
    <w:qFormat/>
    <w:rsid w:val="0067673E"/>
    <w:pPr>
      <w:spacing w:after="0" w:line="240" w:lineRule="auto"/>
      <w:jc w:val="center"/>
      <w:outlineLvl w:val="0"/>
    </w:pPr>
    <w:rPr>
      <w:rFonts w:eastAsia="Times New Roman" w:cs="Times New Roman"/>
      <w:b/>
      <w:bCs/>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673E"/>
    <w:rPr>
      <w:rFonts w:ascii="Times New Roman" w:eastAsia="Times New Roman" w:hAnsi="Times New Roman" w:cs="Times New Roman"/>
      <w:b/>
      <w:bCs/>
      <w:sz w:val="36"/>
      <w:szCs w:val="20"/>
    </w:rPr>
  </w:style>
  <w:style w:type="paragraph" w:customStyle="1" w:styleId="footnotesandnotes">
    <w:name w:val="foot notes and notes"/>
    <w:basedOn w:val="FootnoteText"/>
    <w:link w:val="footnotesandnotesChar"/>
    <w:autoRedefine/>
    <w:qFormat/>
    <w:rsid w:val="0067673E"/>
  </w:style>
  <w:style w:type="paragraph" w:styleId="FootnoteText">
    <w:name w:val="footnote text"/>
    <w:basedOn w:val="Normal"/>
    <w:link w:val="FootnoteTextChar"/>
    <w:uiPriority w:val="99"/>
    <w:semiHidden/>
    <w:unhideWhenUsed/>
    <w:rsid w:val="0067673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673E"/>
    <w:rPr>
      <w:rFonts w:ascii="Times New Roman" w:hAnsi="Times New Roman"/>
      <w:sz w:val="20"/>
      <w:szCs w:val="20"/>
    </w:rPr>
  </w:style>
  <w:style w:type="character" w:customStyle="1" w:styleId="footnotesandnotesChar">
    <w:name w:val="foot notes and notes Char"/>
    <w:basedOn w:val="FootnoteTextChar"/>
    <w:link w:val="footnotesandnotes"/>
    <w:rsid w:val="0067673E"/>
  </w:style>
  <w:style w:type="paragraph" w:styleId="ListParagraph">
    <w:name w:val="List Paragraph"/>
    <w:basedOn w:val="Normal"/>
    <w:uiPriority w:val="34"/>
    <w:qFormat/>
    <w:rsid w:val="00E279ED"/>
    <w:pPr>
      <w:ind w:left="720"/>
      <w:contextualSpacing/>
    </w:pPr>
  </w:style>
  <w:style w:type="character" w:styleId="Hyperlink">
    <w:name w:val="Hyperlink"/>
    <w:basedOn w:val="DefaultParagraphFont"/>
    <w:uiPriority w:val="99"/>
    <w:unhideWhenUsed/>
    <w:rsid w:val="00267FD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2955</TotalTime>
  <Pages>2</Pages>
  <Words>694</Words>
  <Characters>3962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sehar_001</dc:creator>
  <cp:lastModifiedBy>sehar_001</cp:lastModifiedBy>
  <cp:revision>11</cp:revision>
  <dcterms:created xsi:type="dcterms:W3CDTF">2019-02-13T07:03:00Z</dcterms:created>
  <dcterms:modified xsi:type="dcterms:W3CDTF">2020-03-30T13:45:00Z</dcterms:modified>
</cp:coreProperties>
</file>